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Объявление о результатах конкурса</w:t>
      </w:r>
    </w:p>
    <w:p w14:paraId="02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3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Федеральная служба по труду и занятости по итогам конкурса </w:t>
      </w:r>
      <w:r>
        <w:rPr>
          <w:rFonts w:ascii="Times New Roman" w:hAnsi="Times New Roman"/>
          <w:color w:val="000000"/>
          <w:sz w:val="24"/>
        </w:rPr>
        <w:t xml:space="preserve">на заключение договора </w:t>
      </w:r>
      <w:r>
        <w:rPr>
          <w:rFonts w:ascii="Times New Roman" w:hAnsi="Times New Roman"/>
          <w:color w:val="000000"/>
          <w:sz w:val="24"/>
        </w:rPr>
        <w:t xml:space="preserve">о целевом обучении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между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Федеральной службой по труду и занятости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службы, состоявшегося 3 июня 2025 года, сообщает, что по решению конкурсной комиссии Федеральной службы по труду и занятости определены следующие кандидаты, с которыми планируется заключать договор о целевом обучении: </w:t>
      </w:r>
    </w:p>
    <w:p w14:paraId="04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65"/>
        <w:gridCol w:w="2115"/>
        <w:gridCol w:w="4260"/>
      </w:tblGrid>
      <w:tr>
        <w:trPr>
          <w:trHeight w:hRule="atLeast" w:val="360"/>
        </w:trPr>
        <w:tc>
          <w:tcPr>
            <w:tcW w:type="dxa" w:w="3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учреждение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Направление подготовки, уровень образования</w:t>
            </w:r>
          </w:p>
        </w:tc>
        <w:tc>
          <w:tcPr>
            <w:tcW w:type="dxa" w:w="4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2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ФИО кандидатов</w:t>
            </w:r>
          </w:p>
        </w:tc>
      </w:tr>
      <w:tr>
        <w:trPr>
          <w:trHeight w:hRule="atLeast" w:val="360"/>
        </w:trPr>
        <w:tc>
          <w:tcPr>
            <w:tcW w:type="dxa" w:w="3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Уфимский университет науки и технологий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Юриспруденция, бакалавриат</w:t>
            </w:r>
          </w:p>
        </w:tc>
        <w:tc>
          <w:tcPr>
            <w:tcW w:type="dxa" w:w="4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претенденты не выявлены</w:t>
            </w:r>
          </w:p>
        </w:tc>
      </w:tr>
      <w:tr>
        <w:trPr>
          <w:trHeight w:hRule="atLeast" w:val="881"/>
        </w:trPr>
        <w:tc>
          <w:tcPr>
            <w:tcW w:type="dxa" w:w="3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Уральский государственный юридический университет имени В.Ф. Яковлева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Юриспруденция, </w:t>
            </w:r>
            <w:r>
              <w:rPr>
                <w:rFonts w:ascii="Times New Roman" w:hAnsi="Times New Roman"/>
                <w:color w:val="000000"/>
                <w:sz w:val="24"/>
              </w:rPr>
              <w:t>бакалавриат</w:t>
            </w:r>
          </w:p>
        </w:tc>
        <w:tc>
          <w:tcPr>
            <w:tcW w:type="dxa" w:w="4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конкурс не состоялся</w:t>
            </w:r>
          </w:p>
        </w:tc>
      </w:tr>
      <w:tr>
        <w:trPr>
          <w:trHeight w:hRule="atLeast" w:val="360"/>
        </w:trPr>
        <w:tc>
          <w:tcPr>
            <w:tcW w:type="dxa" w:w="3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Московский политехнический университет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Техносферная безопасность, </w:t>
            </w:r>
            <w:r>
              <w:rPr>
                <w:rFonts w:ascii="Times New Roman" w:hAnsi="Times New Roman"/>
                <w:color w:val="000000"/>
                <w:sz w:val="24"/>
              </w:rPr>
              <w:t>бакалавриат</w:t>
            </w:r>
          </w:p>
        </w:tc>
        <w:tc>
          <w:tcPr>
            <w:tcW w:type="dxa" w:w="4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конкурс не состоялся</w:t>
            </w:r>
          </w:p>
        </w:tc>
      </w:tr>
      <w:tr>
        <w:trPr>
          <w:trHeight w:hRule="atLeast" w:val="360"/>
        </w:trPr>
        <w:tc>
          <w:tcPr>
            <w:tcW w:type="dxa" w:w="3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Уфимский государственный нефтяной технический университет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Техносферная безопасность, </w:t>
            </w:r>
            <w:r>
              <w:rPr>
                <w:rFonts w:ascii="Times New Roman" w:hAnsi="Times New Roman"/>
                <w:color w:val="000000"/>
                <w:sz w:val="24"/>
              </w:rPr>
              <w:t>бакалавриат</w:t>
            </w:r>
          </w:p>
        </w:tc>
        <w:tc>
          <w:tcPr>
            <w:tcW w:type="dxa" w:w="4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Саетгалиев Василь Винерович</w:t>
            </w:r>
          </w:p>
        </w:tc>
      </w:tr>
      <w:tr>
        <w:trPr>
          <w:trHeight w:hRule="atLeast" w:val="360"/>
        </w:trPr>
        <w:tc>
          <w:tcPr>
            <w:tcW w:type="dxa" w:w="3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Московский государственный юридический университет имени О.Е. Кутафина (МГЮА)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Юриспруденция, </w:t>
            </w:r>
            <w:r>
              <w:rPr>
                <w:rFonts w:ascii="Times New Roman" w:hAnsi="Times New Roman"/>
                <w:color w:val="000000"/>
                <w:sz w:val="24"/>
              </w:rPr>
              <w:t>бакалавриат</w:t>
            </w:r>
          </w:p>
          <w:p w14:paraId="1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Дюко Инна Гелиевна</w:t>
            </w:r>
          </w:p>
        </w:tc>
      </w:tr>
      <w:tr>
        <w:trPr>
          <w:trHeight w:hRule="atLeast" w:val="360"/>
        </w:trPr>
        <w:tc>
          <w:tcPr>
            <w:tcW w:type="dxa" w:w="3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Кубанский государственный университет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Техносферная безопасность, </w:t>
            </w:r>
            <w:r>
              <w:rPr>
                <w:rFonts w:ascii="Times New Roman" w:hAnsi="Times New Roman"/>
                <w:color w:val="000000"/>
                <w:sz w:val="24"/>
              </w:rPr>
              <w:t>бакалавриат</w:t>
            </w:r>
          </w:p>
        </w:tc>
        <w:tc>
          <w:tcPr>
            <w:tcW w:type="dxa" w:w="4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конкурс не состоялся</w:t>
            </w:r>
          </w:p>
        </w:tc>
      </w:tr>
      <w:tr>
        <w:trPr>
          <w:trHeight w:hRule="atLeast" w:val="360"/>
        </w:trPr>
        <w:tc>
          <w:tcPr>
            <w:tcW w:type="dxa" w:w="3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Владимирский государственный университет имени Александра Григорьевича и Николая Григорьевича Столетовых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Техносферная безопасность, </w:t>
            </w:r>
            <w:r>
              <w:rPr>
                <w:rFonts w:ascii="Times New Roman" w:hAnsi="Times New Roman"/>
                <w:color w:val="000000"/>
                <w:sz w:val="24"/>
              </w:rPr>
              <w:t>бакалавриат</w:t>
            </w:r>
          </w:p>
          <w:p w14:paraId="1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</w:p>
        </w:tc>
        <w:tc>
          <w:tcPr>
            <w:tcW w:type="dxa" w:w="4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конкурс не состоялся</w:t>
            </w:r>
          </w:p>
        </w:tc>
      </w:tr>
      <w:tr>
        <w:trPr>
          <w:trHeight w:hRule="atLeast" w:val="360"/>
        </w:trPr>
        <w:tc>
          <w:tcPr>
            <w:tcW w:type="dxa" w:w="3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Юриспруденция, </w:t>
            </w:r>
            <w:r>
              <w:rPr>
                <w:rFonts w:ascii="Times New Roman" w:hAnsi="Times New Roman"/>
                <w:color w:val="000000"/>
                <w:sz w:val="24"/>
              </w:rPr>
              <w:t>бакалавриат</w:t>
            </w:r>
          </w:p>
          <w:p w14:paraId="2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Сидак Вячеслав Олегович</w:t>
            </w:r>
          </w:p>
        </w:tc>
      </w:tr>
    </w:tbl>
    <w:p w14:paraId="23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24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Всем участникам конкурса направлены письма о результатах.</w:t>
      </w:r>
    </w:p>
    <w:p w14:paraId="25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Т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ак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же сообщаем, что в соответствии с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Федеральная служба по труду и занятости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разместила в Единой цифровой платформе в сфере занятости и трудовых отношений «Работа в России» предложения для граждан, поступающих на обучение по образовательным программам по детализированной квоте  в образовательных организациях. Победителям конкурса необходимо будет подать заявки на вышеуказанные предложения в установленный срок.</w:t>
      </w:r>
    </w:p>
    <w:sectPr>
      <w:pgSz w:h="16838" w:orient="portrait" w:w="11906"/>
      <w:pgMar w:bottom="284" w:footer="709" w:gutter="0" w:header="709" w:left="1418" w:right="748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ody Text 2 Char"/>
    <w:link w:val="Style_5_ch"/>
    <w:rPr>
      <w:rFonts w:ascii="Calibri" w:hAnsi="Calibri"/>
      <w:b w:val="1"/>
      <w:sz w:val="28"/>
    </w:rPr>
  </w:style>
  <w:style w:styleId="Style_5_ch" w:type="character">
    <w:name w:val="Body Text 2 Char"/>
    <w:link w:val="Style_5"/>
    <w:rPr>
      <w:rFonts w:ascii="Calibri" w:hAnsi="Calibri"/>
      <w:b w:val="1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annotation subject"/>
    <w:basedOn w:val="Style_8"/>
    <w:next w:val="Style_8"/>
    <w:link w:val="Style_7_ch"/>
    <w:rPr>
      <w:b w:val="1"/>
    </w:rPr>
  </w:style>
  <w:style w:styleId="Style_7_ch" w:type="character">
    <w:name w:val="annotation subject"/>
    <w:basedOn w:val="Style_8_ch"/>
    <w:link w:val="Style_7"/>
    <w:rPr>
      <w:b w:val="1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Title Char"/>
    <w:link w:val="Style_10_ch"/>
    <w:rPr>
      <w:rFonts w:ascii="Calibri" w:hAnsi="Calibri"/>
      <w:b w:val="1"/>
      <w:sz w:val="28"/>
    </w:rPr>
  </w:style>
  <w:style w:styleId="Style_10_ch" w:type="character">
    <w:name w:val="Title Char"/>
    <w:link w:val="Style_10"/>
    <w:rPr>
      <w:rFonts w:ascii="Calibri" w:hAnsi="Calibri"/>
      <w:b w:val="1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 Paragraph"/>
    <w:basedOn w:val="Style_2"/>
    <w:link w:val="Style_1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3_ch" w:type="character">
    <w:name w:val="List Paragraph"/>
    <w:basedOn w:val="Style_2_ch"/>
    <w:link w:val="Style_13"/>
    <w:rPr>
      <w:rFonts w:ascii="Calibri" w:hAnsi="Calibri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No Spacing"/>
    <w:link w:val="Style_15_ch"/>
    <w:rPr>
      <w:sz w:val="22"/>
    </w:rPr>
  </w:style>
  <w:style w:styleId="Style_15_ch" w:type="character">
    <w:name w:val="No Spacing"/>
    <w:link w:val="Style_15"/>
    <w:rPr>
      <w:sz w:val="22"/>
    </w:rPr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onsPlusNormal"/>
    <w:link w:val="Style_17_ch"/>
    <w:pPr>
      <w:ind w:firstLine="720" w:left="0"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basedOn w:val="Style_2"/>
    <w:next w:val="Style_19"/>
    <w:link w:val="Style_18_ch"/>
    <w:semiHidden w:val="1"/>
    <w:unhideWhenUsed w:val="1"/>
    <w:pPr>
      <w:ind/>
      <w:jc w:val="center"/>
    </w:pPr>
    <w:rPr>
      <w:rFonts w:ascii="Cambria" w:hAnsi="Cambria"/>
      <w:spacing w:val="5"/>
      <w:sz w:val="52"/>
    </w:rPr>
  </w:style>
  <w:style w:styleId="Style_18_ch" w:type="character">
    <w:basedOn w:val="Style_2_ch"/>
    <w:link w:val="Style_18"/>
    <w:semiHidden w:val="1"/>
    <w:unhideWhenUsed w:val="1"/>
    <w:rPr>
      <w:rFonts w:ascii="Cambria" w:hAnsi="Cambria"/>
      <w:spacing w:val="5"/>
      <w:sz w:val="52"/>
    </w:rPr>
  </w:style>
  <w:style w:styleId="Style_20" w:type="paragraph">
    <w:name w:val="heading 5"/>
    <w:next w:val="Style_2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2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2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2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annotation reference"/>
    <w:link w:val="Style_27_ch"/>
    <w:rPr>
      <w:sz w:val="16"/>
    </w:rPr>
  </w:style>
  <w:style w:styleId="Style_27_ch" w:type="character">
    <w:name w:val="annotation reference"/>
    <w:link w:val="Style_27"/>
    <w:rPr>
      <w:sz w:val="16"/>
    </w:rPr>
  </w:style>
  <w:style w:styleId="Style_28" w:type="paragraph">
    <w:name w:val="toc 8"/>
    <w:next w:val="Style_2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Body Text Indent"/>
    <w:basedOn w:val="Style_2"/>
    <w:link w:val="Style_29_ch"/>
    <w:pPr>
      <w:spacing w:after="120"/>
      <w:ind w:firstLine="0" w:left="283"/>
    </w:pPr>
  </w:style>
  <w:style w:styleId="Style_29_ch" w:type="character">
    <w:name w:val="Body Text Indent"/>
    <w:basedOn w:val="Style_2_ch"/>
    <w:link w:val="Style_29"/>
  </w:style>
  <w:style w:styleId="Style_30" w:type="paragraph">
    <w:name w:val="header"/>
    <w:basedOn w:val="Style_2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header"/>
    <w:basedOn w:val="Style_2_ch"/>
    <w:link w:val="Style_30"/>
  </w:style>
  <w:style w:styleId="Style_31" w:type="paragraph">
    <w:name w:val="toc 5"/>
    <w:next w:val="Style_2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footer"/>
    <w:basedOn w:val="Style_2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2_ch"/>
    <w:link w:val="Style_32"/>
  </w:style>
  <w:style w:styleId="Style_33" w:type="paragraph">
    <w:name w:val="Balloon Text"/>
    <w:basedOn w:val="Style_2"/>
    <w:link w:val="Style_33_ch"/>
    <w:rPr>
      <w:rFonts w:ascii="Tahoma" w:hAnsi="Tahoma"/>
      <w:sz w:val="16"/>
    </w:rPr>
  </w:style>
  <w:style w:styleId="Style_33_ch" w:type="character">
    <w:name w:val="Balloon Text"/>
    <w:basedOn w:val="Style_2_ch"/>
    <w:link w:val="Style_33"/>
    <w:rPr>
      <w:rFonts w:ascii="Tahoma" w:hAnsi="Tahoma"/>
      <w:sz w:val="16"/>
    </w:rPr>
  </w:style>
  <w:style w:styleId="Style_34" w:type="paragraph">
    <w:name w:val="Основной текст1"/>
    <w:link w:val="Style_34_ch"/>
    <w:rPr>
      <w:rFonts w:ascii="Times New Roman" w:hAnsi="Times New Roman"/>
      <w:sz w:val="27"/>
      <w:highlight w:val="white"/>
    </w:rPr>
  </w:style>
  <w:style w:styleId="Style_34_ch" w:type="character">
    <w:name w:val="Основной текст1"/>
    <w:link w:val="Style_34"/>
    <w:rPr>
      <w:rFonts w:ascii="Times New Roman" w:hAnsi="Times New Roman"/>
      <w:sz w:val="27"/>
      <w:highlight w:val="white"/>
    </w:rPr>
  </w:style>
  <w:style w:styleId="Style_35" w:type="paragraph">
    <w:name w:val="Subtitle"/>
    <w:next w:val="Style_2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 Char1"/>
    <w:link w:val="Style_36_ch"/>
    <w:rPr>
      <w:rFonts w:ascii="Cambria" w:hAnsi="Cambria"/>
      <w:b w:val="1"/>
      <w:sz w:val="32"/>
    </w:rPr>
  </w:style>
  <w:style w:styleId="Style_36_ch" w:type="character">
    <w:name w:val="Title Char1"/>
    <w:link w:val="Style_36"/>
    <w:rPr>
      <w:rFonts w:ascii="Cambria" w:hAnsi="Cambria"/>
      <w:b w:val="1"/>
      <w:sz w:val="32"/>
    </w:rPr>
  </w:style>
  <w:style w:styleId="Style_19" w:type="paragraph">
    <w:name w:val="Title"/>
    <w:basedOn w:val="Style_2"/>
    <w:link w:val="Style_19_ch"/>
    <w:uiPriority w:val="10"/>
    <w:qFormat/>
    <w:pPr>
      <w:ind/>
      <w:jc w:val="center"/>
    </w:pPr>
    <w:rPr>
      <w:rFonts w:ascii="Calibri" w:hAnsi="Calibri"/>
      <w:b w:val="1"/>
      <w:sz w:val="28"/>
    </w:rPr>
  </w:style>
  <w:style w:styleId="Style_19_ch" w:type="character">
    <w:name w:val="Title"/>
    <w:basedOn w:val="Style_2_ch"/>
    <w:link w:val="Style_19"/>
    <w:rPr>
      <w:rFonts w:ascii="Calibri" w:hAnsi="Calibri"/>
      <w:b w:val="1"/>
      <w:sz w:val="28"/>
    </w:rPr>
  </w:style>
  <w:style w:styleId="Style_37" w:type="paragraph">
    <w:name w:val="heading 4"/>
    <w:next w:val="Style_2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Body Text 2 Char1"/>
    <w:link w:val="Style_38_ch"/>
    <w:rPr>
      <w:rFonts w:ascii="Times New Roman" w:hAnsi="Times New Roman"/>
      <w:sz w:val="20"/>
    </w:rPr>
  </w:style>
  <w:style w:styleId="Style_38_ch" w:type="character">
    <w:name w:val="Body Text 2 Char1"/>
    <w:link w:val="Style_38"/>
    <w:rPr>
      <w:rFonts w:ascii="Times New Roman" w:hAnsi="Times New Roman"/>
      <w:sz w:val="20"/>
    </w:rPr>
  </w:style>
  <w:style w:styleId="Style_8" w:type="paragraph">
    <w:name w:val="annotation text"/>
    <w:basedOn w:val="Style_2"/>
    <w:link w:val="Style_8_ch"/>
  </w:style>
  <w:style w:styleId="Style_8_ch" w:type="character">
    <w:name w:val="annotation text"/>
    <w:basedOn w:val="Style_2_ch"/>
    <w:link w:val="Style_8"/>
  </w:style>
  <w:style w:styleId="Style_39" w:type="paragraph">
    <w:name w:val="heading 2"/>
    <w:next w:val="Style_2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paragraph">
    <w:name w:val="Body Text 2"/>
    <w:basedOn w:val="Style_2"/>
    <w:link w:val="Style_40_ch"/>
    <w:pPr>
      <w:ind/>
      <w:jc w:val="both"/>
    </w:pPr>
    <w:rPr>
      <w:rFonts w:ascii="Calibri" w:hAnsi="Calibri"/>
      <w:b w:val="1"/>
      <w:sz w:val="28"/>
    </w:rPr>
  </w:style>
  <w:style w:styleId="Style_40_ch" w:type="character">
    <w:name w:val="Body Text 2"/>
    <w:basedOn w:val="Style_2_ch"/>
    <w:link w:val="Style_40"/>
    <w:rPr>
      <w:rFonts w:ascii="Calibri" w:hAnsi="Calibri"/>
      <w:b w:val="1"/>
      <w:sz w:val="28"/>
    </w:rPr>
  </w:style>
  <w:style w:styleId="Style_41" w:type="table">
    <w:name w:val="Table Grid"/>
    <w:basedOn w:val="Style_1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2" w:type="table">
    <w:name w:val="Сетка таблицы1"/>
    <w:basedOn w:val="Style_1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2025-06-05T11:15:51Z</dcterms:modified>
</cp:coreProperties>
</file>